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4E" w:rsidRPr="006B77B9" w:rsidRDefault="006B77B9">
      <w:pPr>
        <w:rPr>
          <w:b/>
          <w:sz w:val="28"/>
          <w:szCs w:val="28"/>
          <w:lang w:val="fr-FR"/>
        </w:rPr>
      </w:pPr>
      <w:r>
        <w:rPr>
          <w:b/>
          <w:sz w:val="28"/>
          <w:szCs w:val="28"/>
          <w:lang w:val="fr-FR"/>
        </w:rPr>
        <w:t>Guide sur le Plan de Passation des Marches</w:t>
      </w:r>
    </w:p>
    <w:p w:rsidR="006B77B9" w:rsidRDefault="006B77B9" w:rsidP="006B77B9">
      <w:pPr>
        <w:spacing w:after="0"/>
        <w:rPr>
          <w:lang w:val="fr-FR"/>
        </w:rPr>
      </w:pPr>
      <w:r w:rsidRPr="006B77B9">
        <w:rPr>
          <w:lang w:val="fr-FR"/>
        </w:rPr>
        <w:t>Dans le cadre de la préparation du projet et avant la négociation de la subvention, le bénéficiaire est tenu de soumettre un plan de passation de marchés pour une période de 18 mois à approbation de l'ACBF. Chaque année le bénéficiaire doit mettre à jour son plan de passation des marchés et le soumettre à l'approbation de l'ACBF</w:t>
      </w:r>
      <w:r>
        <w:rPr>
          <w:lang w:val="fr-FR"/>
        </w:rPr>
        <w:t>.</w:t>
      </w:r>
    </w:p>
    <w:p w:rsidR="00114CA1" w:rsidRDefault="00114CA1" w:rsidP="006B77B9">
      <w:pPr>
        <w:spacing w:after="0"/>
        <w:rPr>
          <w:lang w:val="fr-FR"/>
        </w:rPr>
      </w:pPr>
    </w:p>
    <w:p w:rsidR="006B77B9" w:rsidRPr="006B77B9" w:rsidRDefault="006B77B9" w:rsidP="006B77B9">
      <w:pPr>
        <w:spacing w:after="0"/>
        <w:rPr>
          <w:lang w:val="fr-FR"/>
        </w:rPr>
      </w:pPr>
      <w:r w:rsidRPr="006B77B9">
        <w:rPr>
          <w:lang w:val="fr-FR"/>
        </w:rPr>
        <w:t>Le plan de passation de marchés donne en détail la description des articles à acheter, les coûts estimatifs, les méthodes de passation des marchés, les parties prenantes et le calendrier de passation de marchés pour chaque activité.</w:t>
      </w:r>
    </w:p>
    <w:p w:rsidR="006B77B9" w:rsidRPr="006B77B9" w:rsidRDefault="006B77B9" w:rsidP="006B77B9">
      <w:pPr>
        <w:spacing w:after="0"/>
        <w:rPr>
          <w:lang w:val="fr-FR"/>
        </w:rPr>
      </w:pPr>
      <w:r w:rsidRPr="006B77B9">
        <w:rPr>
          <w:lang w:val="fr-FR"/>
        </w:rPr>
        <w:t>Quoi, Comment, Qui, Quand, Où</w:t>
      </w:r>
    </w:p>
    <w:p w:rsidR="006B77B9" w:rsidRPr="006B77B9" w:rsidRDefault="006B77B9" w:rsidP="006B77B9">
      <w:pPr>
        <w:spacing w:after="0"/>
        <w:rPr>
          <w:lang w:val="fr-FR"/>
        </w:rPr>
      </w:pPr>
      <w:r w:rsidRPr="006B77B9">
        <w:rPr>
          <w:lang w:val="fr-FR"/>
        </w:rPr>
        <w:t>Quoi</w:t>
      </w:r>
      <w:r w:rsidRPr="006B77B9">
        <w:rPr>
          <w:lang w:val="fr-FR"/>
        </w:rPr>
        <w:tab/>
      </w:r>
      <w:r w:rsidRPr="006B77B9">
        <w:rPr>
          <w:lang w:val="fr-FR"/>
        </w:rPr>
        <w:tab/>
        <w:t>-  Quels articles, grand, petit</w:t>
      </w:r>
    </w:p>
    <w:p w:rsidR="006B77B9" w:rsidRPr="006B77B9" w:rsidRDefault="006B77B9" w:rsidP="006B77B9">
      <w:pPr>
        <w:spacing w:after="0"/>
        <w:rPr>
          <w:lang w:val="fr-FR"/>
        </w:rPr>
      </w:pPr>
      <w:r w:rsidRPr="006B77B9">
        <w:rPr>
          <w:lang w:val="fr-FR"/>
        </w:rPr>
        <w:t>Comment</w:t>
      </w:r>
      <w:r w:rsidRPr="006B77B9">
        <w:rPr>
          <w:lang w:val="fr-FR"/>
        </w:rPr>
        <w:tab/>
        <w:t>-  Quelle méthode doit on utiliser pour le marché</w:t>
      </w:r>
    </w:p>
    <w:p w:rsidR="006B77B9" w:rsidRPr="006B77B9" w:rsidRDefault="006B77B9" w:rsidP="006B77B9">
      <w:pPr>
        <w:spacing w:after="0"/>
        <w:rPr>
          <w:lang w:val="fr-FR"/>
        </w:rPr>
      </w:pPr>
      <w:r w:rsidRPr="006B77B9">
        <w:rPr>
          <w:lang w:val="fr-FR"/>
        </w:rPr>
        <w:t>Qui</w:t>
      </w:r>
      <w:r w:rsidRPr="006B77B9">
        <w:rPr>
          <w:lang w:val="fr-FR"/>
        </w:rPr>
        <w:tab/>
      </w:r>
      <w:r w:rsidRPr="006B77B9">
        <w:rPr>
          <w:lang w:val="fr-FR"/>
        </w:rPr>
        <w:tab/>
        <w:t>- Allocation des rôles,  L’analyse vs l’Approbation</w:t>
      </w:r>
    </w:p>
    <w:p w:rsidR="006B77B9" w:rsidRPr="006B77B9" w:rsidRDefault="006B77B9" w:rsidP="006B77B9">
      <w:pPr>
        <w:spacing w:after="0"/>
        <w:rPr>
          <w:lang w:val="fr-FR"/>
        </w:rPr>
      </w:pPr>
      <w:r w:rsidRPr="006B77B9">
        <w:rPr>
          <w:lang w:val="fr-FR"/>
        </w:rPr>
        <w:t>Quand</w:t>
      </w:r>
      <w:r w:rsidRPr="006B77B9">
        <w:rPr>
          <w:lang w:val="fr-FR"/>
        </w:rPr>
        <w:tab/>
      </w:r>
      <w:r w:rsidRPr="006B77B9">
        <w:rPr>
          <w:lang w:val="fr-FR"/>
        </w:rPr>
        <w:tab/>
        <w:t>- Lancer les activités</w:t>
      </w:r>
    </w:p>
    <w:p w:rsidR="006B77B9" w:rsidRPr="006B77B9" w:rsidRDefault="006B77B9" w:rsidP="006B77B9">
      <w:pPr>
        <w:spacing w:after="0"/>
        <w:rPr>
          <w:lang w:val="fr-FR"/>
        </w:rPr>
      </w:pPr>
      <w:r w:rsidRPr="006B77B9">
        <w:rPr>
          <w:lang w:val="fr-FR"/>
        </w:rPr>
        <w:t>Ou</w:t>
      </w:r>
      <w:r w:rsidRPr="006B77B9">
        <w:rPr>
          <w:lang w:val="fr-FR"/>
        </w:rPr>
        <w:tab/>
      </w:r>
      <w:r w:rsidRPr="006B77B9">
        <w:rPr>
          <w:lang w:val="fr-FR"/>
        </w:rPr>
        <w:tab/>
        <w:t>- Localisation géographique</w:t>
      </w:r>
    </w:p>
    <w:p w:rsidR="006B77B9" w:rsidRPr="009C1A1D" w:rsidRDefault="006B77B9" w:rsidP="006B77B9">
      <w:pPr>
        <w:spacing w:after="0"/>
        <w:rPr>
          <w:lang w:val="fr-FR"/>
        </w:rPr>
      </w:pPr>
    </w:p>
    <w:p w:rsidR="006B77B9" w:rsidRPr="00114CA1" w:rsidRDefault="00114CA1" w:rsidP="006B77B9">
      <w:pPr>
        <w:spacing w:after="0"/>
        <w:rPr>
          <w:b/>
          <w:sz w:val="24"/>
          <w:szCs w:val="24"/>
          <w:lang w:val="fr-FR"/>
        </w:rPr>
      </w:pPr>
      <w:r>
        <w:rPr>
          <w:b/>
          <w:sz w:val="24"/>
          <w:szCs w:val="24"/>
          <w:lang w:val="fr-FR"/>
        </w:rPr>
        <w:t>Le contenu du plan de p</w:t>
      </w:r>
      <w:r w:rsidR="006B77B9" w:rsidRPr="00114CA1">
        <w:rPr>
          <w:b/>
          <w:sz w:val="24"/>
          <w:szCs w:val="24"/>
          <w:lang w:val="fr-FR"/>
        </w:rPr>
        <w:t>assation des marches</w:t>
      </w:r>
    </w:p>
    <w:p w:rsidR="00B05007" w:rsidRPr="004D5CC5" w:rsidRDefault="006B77B9" w:rsidP="004D5CC5">
      <w:pPr>
        <w:spacing w:after="0"/>
        <w:rPr>
          <w:lang w:val="fr-FR"/>
        </w:rPr>
      </w:pPr>
      <w:r>
        <w:rPr>
          <w:lang w:val="fr-FR"/>
        </w:rPr>
        <w:t xml:space="preserve">Le PPM contient les </w:t>
      </w:r>
      <w:r w:rsidR="00114CA1">
        <w:rPr>
          <w:lang w:val="fr-FR"/>
        </w:rPr>
        <w:t>éléments</w:t>
      </w:r>
      <w:r w:rsidR="004D5CC5">
        <w:rPr>
          <w:lang w:val="fr-FR"/>
        </w:rPr>
        <w:t xml:space="preserve"> suivantes ;</w:t>
      </w:r>
    </w:p>
    <w:p w:rsidR="00B05007" w:rsidRPr="00676D29" w:rsidRDefault="00B05007" w:rsidP="00114CA1">
      <w:pPr>
        <w:pStyle w:val="ListParagraph"/>
        <w:numPr>
          <w:ilvl w:val="0"/>
          <w:numId w:val="3"/>
        </w:numPr>
        <w:spacing w:after="0"/>
        <w:rPr>
          <w:lang w:val="fr-FR"/>
        </w:rPr>
      </w:pPr>
      <w:r>
        <w:rPr>
          <w:lang w:val="fr-FR"/>
        </w:rPr>
        <w:t xml:space="preserve">Deux sections de </w:t>
      </w:r>
      <w:r w:rsidR="00CC722A">
        <w:rPr>
          <w:lang w:val="fr-FR"/>
        </w:rPr>
        <w:t>catégories</w:t>
      </w:r>
      <w:r>
        <w:rPr>
          <w:lang w:val="fr-FR"/>
        </w:rPr>
        <w:t xml:space="preserve"> de PPM</w:t>
      </w:r>
      <w:r w:rsidR="00CC722A">
        <w:rPr>
          <w:lang w:val="fr-FR"/>
        </w:rPr>
        <w:t xml:space="preserve">;  Section I - </w:t>
      </w:r>
      <w:r>
        <w:rPr>
          <w:lang w:val="fr-FR"/>
        </w:rPr>
        <w:t xml:space="preserve">Biens, Travaux et Services </w:t>
      </w:r>
      <w:r w:rsidR="00CC722A">
        <w:rPr>
          <w:lang w:val="fr-FR"/>
        </w:rPr>
        <w:t>autre que les services de consultance ; et Section 2 – Service de Consultance</w:t>
      </w:r>
      <w:r w:rsidR="00A97B4F">
        <w:rPr>
          <w:lang w:val="fr-FR"/>
        </w:rPr>
        <w:t xml:space="preserve"> – </w:t>
      </w:r>
      <w:r w:rsidR="00A97B4F" w:rsidRPr="00A97B4F">
        <w:rPr>
          <w:b/>
          <w:lang w:val="fr-FR"/>
        </w:rPr>
        <w:t>il faut planifier chaque activité sous la bonne catégorie puisque chaque catégorie contient ses propres méthodes de sélection et ses propres seuils.</w:t>
      </w:r>
      <w:r w:rsidR="00B859FC">
        <w:rPr>
          <w:b/>
          <w:lang w:val="fr-FR"/>
        </w:rPr>
        <w:t xml:space="preserve"> </w:t>
      </w:r>
      <w:r w:rsidR="00B859FC" w:rsidRPr="00676D29">
        <w:rPr>
          <w:lang w:val="fr-FR"/>
        </w:rPr>
        <w:t xml:space="preserve">Chaque </w:t>
      </w:r>
      <w:r w:rsidR="00676D29" w:rsidRPr="00676D29">
        <w:rPr>
          <w:lang w:val="fr-FR"/>
        </w:rPr>
        <w:t xml:space="preserve">section contient un tableau qui souligne les méthodes de PPM </w:t>
      </w:r>
      <w:r w:rsidR="00676D29">
        <w:rPr>
          <w:lang w:val="fr-FR"/>
        </w:rPr>
        <w:t>et les seuils</w:t>
      </w:r>
      <w:r w:rsidR="00676D29" w:rsidRPr="00676D29">
        <w:rPr>
          <w:lang w:val="fr-FR"/>
        </w:rPr>
        <w:t xml:space="preserve"> </w:t>
      </w:r>
      <w:r w:rsidR="00676D29">
        <w:rPr>
          <w:lang w:val="fr-FR"/>
        </w:rPr>
        <w:t>d’utilisation de la méthode et pour la revue Préalable / Ex-post</w:t>
      </w:r>
      <w:r w:rsidR="00676D29">
        <w:rPr>
          <w:rStyle w:val="FootnoteReference"/>
          <w:lang w:val="fr-FR"/>
        </w:rPr>
        <w:footnoteReference w:id="1"/>
      </w:r>
      <w:r w:rsidR="00676D29">
        <w:rPr>
          <w:lang w:val="fr-FR"/>
        </w:rPr>
        <w:t xml:space="preserve">  </w:t>
      </w:r>
      <w:r w:rsidR="00676D29" w:rsidRPr="00676D29">
        <w:rPr>
          <w:lang w:val="fr-FR"/>
        </w:rPr>
        <w:t>qu</w:t>
      </w:r>
      <w:r w:rsidR="00676D29">
        <w:rPr>
          <w:lang w:val="fr-FR"/>
        </w:rPr>
        <w:t>e</w:t>
      </w:r>
      <w:r w:rsidR="00676D29" w:rsidRPr="00676D29">
        <w:rPr>
          <w:lang w:val="fr-FR"/>
        </w:rPr>
        <w:t xml:space="preserve"> s’applique</w:t>
      </w:r>
      <w:r w:rsidR="00676D29">
        <w:rPr>
          <w:lang w:val="fr-FR"/>
        </w:rPr>
        <w:t>ront</w:t>
      </w:r>
      <w:r w:rsidR="00676D29" w:rsidRPr="00676D29">
        <w:rPr>
          <w:lang w:val="fr-FR"/>
        </w:rPr>
        <w:t xml:space="preserve"> à tous les articles que seront planifies sous cette section</w:t>
      </w:r>
      <w:r w:rsidR="00676D29">
        <w:rPr>
          <w:lang w:val="fr-FR"/>
        </w:rPr>
        <w:t>.</w:t>
      </w:r>
      <w:r w:rsidR="00676D29">
        <w:rPr>
          <w:rStyle w:val="FootnoteReference"/>
          <w:lang w:val="fr-FR"/>
        </w:rPr>
        <w:footnoteReference w:id="2"/>
      </w:r>
    </w:p>
    <w:p w:rsidR="00114CA1" w:rsidRPr="00114CA1" w:rsidRDefault="00114CA1" w:rsidP="00114CA1">
      <w:pPr>
        <w:pStyle w:val="ListParagraph"/>
        <w:numPr>
          <w:ilvl w:val="0"/>
          <w:numId w:val="3"/>
        </w:numPr>
        <w:spacing w:after="0"/>
        <w:rPr>
          <w:lang w:val="fr-FR"/>
        </w:rPr>
      </w:pPr>
      <w:r w:rsidRPr="00114CA1">
        <w:rPr>
          <w:lang w:val="fr-FR"/>
        </w:rPr>
        <w:t xml:space="preserve">Description des </w:t>
      </w:r>
      <w:r w:rsidRPr="006B77B9">
        <w:rPr>
          <w:lang w:val="fr-FR"/>
        </w:rPr>
        <w:t>articles à acheter</w:t>
      </w:r>
      <w:r w:rsidRPr="00114CA1">
        <w:rPr>
          <w:lang w:val="fr-FR"/>
        </w:rPr>
        <w:t>.</w:t>
      </w:r>
    </w:p>
    <w:p w:rsidR="00114CA1" w:rsidRPr="00114CA1" w:rsidRDefault="00114CA1" w:rsidP="00114CA1">
      <w:pPr>
        <w:pStyle w:val="ListParagraph"/>
        <w:numPr>
          <w:ilvl w:val="0"/>
          <w:numId w:val="3"/>
        </w:numPr>
        <w:spacing w:after="0"/>
        <w:rPr>
          <w:lang w:val="fr-FR"/>
        </w:rPr>
      </w:pPr>
      <w:r w:rsidRPr="00114CA1">
        <w:rPr>
          <w:lang w:val="fr-FR"/>
        </w:rPr>
        <w:t>Méthode proposée de Passation de marchés /de Sélection</w:t>
      </w:r>
    </w:p>
    <w:p w:rsidR="00114CA1" w:rsidRPr="00114CA1" w:rsidRDefault="00114CA1" w:rsidP="00114CA1">
      <w:pPr>
        <w:pStyle w:val="ListParagraph"/>
        <w:numPr>
          <w:ilvl w:val="0"/>
          <w:numId w:val="3"/>
        </w:numPr>
        <w:spacing w:after="0"/>
        <w:rPr>
          <w:lang w:val="fr-FR"/>
        </w:rPr>
      </w:pPr>
      <w:r w:rsidRPr="00114CA1">
        <w:rPr>
          <w:lang w:val="fr-FR"/>
        </w:rPr>
        <w:t xml:space="preserve">Coûts estimatifs </w:t>
      </w:r>
      <w:r>
        <w:rPr>
          <w:lang w:val="fr-FR"/>
        </w:rPr>
        <w:t>des articles</w:t>
      </w:r>
    </w:p>
    <w:p w:rsidR="00114CA1" w:rsidRPr="00114CA1" w:rsidRDefault="00114CA1" w:rsidP="00114CA1">
      <w:pPr>
        <w:pStyle w:val="ListParagraph"/>
        <w:numPr>
          <w:ilvl w:val="0"/>
          <w:numId w:val="3"/>
        </w:numPr>
        <w:spacing w:after="0"/>
        <w:rPr>
          <w:lang w:val="fr-FR"/>
        </w:rPr>
      </w:pPr>
      <w:r w:rsidRPr="00114CA1">
        <w:rPr>
          <w:lang w:val="fr-FR"/>
        </w:rPr>
        <w:t>Exigences de revue préalable de l’ACBF (Revue Préalable ou Ex-Post)</w:t>
      </w:r>
    </w:p>
    <w:p w:rsidR="00114CA1" w:rsidRPr="00114CA1" w:rsidRDefault="00114CA1" w:rsidP="00114CA1">
      <w:pPr>
        <w:pStyle w:val="ListParagraph"/>
        <w:numPr>
          <w:ilvl w:val="0"/>
          <w:numId w:val="3"/>
        </w:numPr>
        <w:spacing w:after="0"/>
        <w:rPr>
          <w:lang w:val="fr-FR"/>
        </w:rPr>
      </w:pPr>
      <w:r w:rsidRPr="00114CA1">
        <w:rPr>
          <w:lang w:val="fr-FR"/>
        </w:rPr>
        <w:t>Calendrier des acquisitions / processus de sélection pour chaque activité, y compris la date d'attribution du contrat prévue.</w:t>
      </w:r>
    </w:p>
    <w:p w:rsidR="00114CA1" w:rsidRPr="00114CA1" w:rsidRDefault="00114CA1" w:rsidP="00114CA1">
      <w:pPr>
        <w:pStyle w:val="ListParagraph"/>
        <w:numPr>
          <w:ilvl w:val="0"/>
          <w:numId w:val="3"/>
        </w:numPr>
        <w:spacing w:after="0"/>
        <w:rPr>
          <w:lang w:val="fr-FR"/>
        </w:rPr>
      </w:pPr>
      <w:r w:rsidRPr="00114CA1">
        <w:rPr>
          <w:lang w:val="fr-FR"/>
        </w:rPr>
        <w:t>Disposition de suivi du plan prévu par rapport aux réalisations</w:t>
      </w:r>
    </w:p>
    <w:p w:rsidR="006B77B9" w:rsidRDefault="006B77B9" w:rsidP="006B77B9">
      <w:pPr>
        <w:spacing w:after="0"/>
        <w:rPr>
          <w:lang w:val="fr-FR"/>
        </w:rPr>
      </w:pPr>
    </w:p>
    <w:p w:rsidR="00114CA1" w:rsidRPr="00114CA1" w:rsidRDefault="00114CA1" w:rsidP="006B77B9">
      <w:pPr>
        <w:spacing w:after="0"/>
        <w:rPr>
          <w:b/>
          <w:sz w:val="24"/>
          <w:szCs w:val="24"/>
          <w:lang w:val="fr-FR"/>
        </w:rPr>
      </w:pPr>
      <w:r w:rsidRPr="00114CA1">
        <w:rPr>
          <w:b/>
          <w:sz w:val="24"/>
          <w:szCs w:val="24"/>
          <w:lang w:val="fr-FR"/>
        </w:rPr>
        <w:t>Préparation du plan de passation de marchés – Quels sont les outils nécessaires ?</w:t>
      </w:r>
    </w:p>
    <w:p w:rsidR="00114CA1" w:rsidRPr="00114CA1" w:rsidRDefault="00114CA1" w:rsidP="00114CA1">
      <w:pPr>
        <w:pStyle w:val="ListParagraph"/>
        <w:numPr>
          <w:ilvl w:val="0"/>
          <w:numId w:val="4"/>
        </w:numPr>
        <w:spacing w:after="0"/>
        <w:rPr>
          <w:lang w:val="fr-FR"/>
        </w:rPr>
      </w:pPr>
      <w:r w:rsidRPr="00114CA1">
        <w:rPr>
          <w:lang w:val="fr-FR"/>
        </w:rPr>
        <w:t>Rapport d'évaluation du projet</w:t>
      </w:r>
    </w:p>
    <w:p w:rsidR="00114CA1" w:rsidRPr="00114CA1" w:rsidRDefault="00114CA1" w:rsidP="00114CA1">
      <w:pPr>
        <w:pStyle w:val="ListParagraph"/>
        <w:numPr>
          <w:ilvl w:val="0"/>
          <w:numId w:val="4"/>
        </w:numPr>
        <w:spacing w:after="0"/>
        <w:rPr>
          <w:lang w:val="fr-FR"/>
        </w:rPr>
      </w:pPr>
      <w:r w:rsidRPr="00114CA1">
        <w:rPr>
          <w:lang w:val="fr-FR"/>
        </w:rPr>
        <w:t>Accord de subvention</w:t>
      </w:r>
    </w:p>
    <w:p w:rsidR="00114CA1" w:rsidRPr="00114CA1" w:rsidRDefault="00114CA1" w:rsidP="00114CA1">
      <w:pPr>
        <w:pStyle w:val="ListParagraph"/>
        <w:numPr>
          <w:ilvl w:val="0"/>
          <w:numId w:val="4"/>
        </w:numPr>
        <w:spacing w:after="0"/>
        <w:rPr>
          <w:lang w:val="fr-FR"/>
        </w:rPr>
      </w:pPr>
      <w:r w:rsidRPr="00114CA1">
        <w:rPr>
          <w:lang w:val="fr-FR"/>
        </w:rPr>
        <w:t>Directives de passation de marchés pour les bénéficiaires des subventions de l’ACBF</w:t>
      </w:r>
    </w:p>
    <w:p w:rsidR="00114CA1" w:rsidRPr="00114CA1" w:rsidRDefault="00114CA1" w:rsidP="00114CA1">
      <w:pPr>
        <w:pStyle w:val="ListParagraph"/>
        <w:numPr>
          <w:ilvl w:val="0"/>
          <w:numId w:val="4"/>
        </w:numPr>
        <w:spacing w:after="0"/>
        <w:rPr>
          <w:lang w:val="fr-FR"/>
        </w:rPr>
      </w:pPr>
      <w:r w:rsidRPr="00114CA1">
        <w:rPr>
          <w:lang w:val="fr-FR"/>
        </w:rPr>
        <w:lastRenderedPageBreak/>
        <w:t>PTBA –Comprendre les activités du projet, les coûts estimatifs et le chronogramme</w:t>
      </w:r>
    </w:p>
    <w:p w:rsidR="00114CA1" w:rsidRPr="00114CA1" w:rsidRDefault="00114CA1" w:rsidP="00114CA1">
      <w:pPr>
        <w:pStyle w:val="ListParagraph"/>
        <w:numPr>
          <w:ilvl w:val="0"/>
          <w:numId w:val="4"/>
        </w:numPr>
        <w:spacing w:after="0"/>
        <w:rPr>
          <w:lang w:val="fr-FR"/>
        </w:rPr>
      </w:pPr>
      <w:r w:rsidRPr="00114CA1">
        <w:rPr>
          <w:lang w:val="fr-FR"/>
        </w:rPr>
        <w:t>Bonne compréhension des méthodes de passation des marchés et les procédures connexes</w:t>
      </w:r>
    </w:p>
    <w:p w:rsidR="00114CA1" w:rsidRPr="00114CA1" w:rsidRDefault="00114CA1" w:rsidP="00114CA1">
      <w:pPr>
        <w:pStyle w:val="ListParagraph"/>
        <w:numPr>
          <w:ilvl w:val="0"/>
          <w:numId w:val="4"/>
        </w:numPr>
        <w:spacing w:after="0"/>
        <w:rPr>
          <w:lang w:val="fr-FR"/>
        </w:rPr>
      </w:pPr>
      <w:r w:rsidRPr="00114CA1">
        <w:rPr>
          <w:lang w:val="fr-FR"/>
        </w:rPr>
        <w:t xml:space="preserve">Bonne catégorisation des activités en biens, travaux, </w:t>
      </w:r>
      <w:r w:rsidR="004D5CC5">
        <w:rPr>
          <w:lang w:val="fr-FR"/>
        </w:rPr>
        <w:t>Services autre que les services de consultance </w:t>
      </w:r>
      <w:r w:rsidRPr="00114CA1">
        <w:rPr>
          <w:lang w:val="fr-FR"/>
        </w:rPr>
        <w:t>et services de consultation</w:t>
      </w:r>
    </w:p>
    <w:p w:rsidR="00114CA1" w:rsidRPr="00114CA1" w:rsidRDefault="00114CA1" w:rsidP="00114CA1">
      <w:pPr>
        <w:pStyle w:val="ListParagraph"/>
        <w:numPr>
          <w:ilvl w:val="0"/>
          <w:numId w:val="4"/>
        </w:numPr>
        <w:spacing w:after="0"/>
        <w:rPr>
          <w:lang w:val="fr-FR"/>
        </w:rPr>
      </w:pPr>
      <w:r w:rsidRPr="00114CA1">
        <w:rPr>
          <w:lang w:val="fr-FR"/>
        </w:rPr>
        <w:t>Connaissance des seuils de passation des marchés dans le cadre des différentes méthodes de passation des marchés</w:t>
      </w:r>
    </w:p>
    <w:p w:rsidR="00114CA1" w:rsidRPr="00114CA1" w:rsidRDefault="00114CA1" w:rsidP="00114CA1">
      <w:pPr>
        <w:pStyle w:val="ListParagraph"/>
        <w:numPr>
          <w:ilvl w:val="0"/>
          <w:numId w:val="4"/>
        </w:numPr>
        <w:spacing w:after="0"/>
        <w:rPr>
          <w:lang w:val="fr-FR"/>
        </w:rPr>
      </w:pPr>
      <w:r w:rsidRPr="00114CA1">
        <w:rPr>
          <w:lang w:val="fr-FR"/>
        </w:rPr>
        <w:t>Connaissance des seuils nécessitant une revue préalable</w:t>
      </w:r>
    </w:p>
    <w:p w:rsidR="006B77B9" w:rsidRDefault="006B77B9" w:rsidP="006B77B9">
      <w:pPr>
        <w:spacing w:after="0"/>
        <w:rPr>
          <w:lang w:val="fr-FR"/>
        </w:rPr>
      </w:pPr>
    </w:p>
    <w:p w:rsidR="00114CA1" w:rsidRPr="00114CA1" w:rsidRDefault="00114CA1" w:rsidP="006B77B9">
      <w:pPr>
        <w:spacing w:after="0"/>
        <w:rPr>
          <w:b/>
          <w:sz w:val="24"/>
          <w:szCs w:val="24"/>
          <w:lang w:val="fr-FR"/>
        </w:rPr>
      </w:pPr>
      <w:r w:rsidRPr="00114CA1">
        <w:rPr>
          <w:b/>
          <w:sz w:val="24"/>
          <w:szCs w:val="24"/>
          <w:lang w:val="fr-FR"/>
        </w:rPr>
        <w:t>Catégorisation des activités de passation de marchés</w:t>
      </w:r>
    </w:p>
    <w:p w:rsidR="00114CA1" w:rsidRDefault="00114CA1" w:rsidP="008440A0">
      <w:pPr>
        <w:pStyle w:val="ListParagraph"/>
        <w:numPr>
          <w:ilvl w:val="0"/>
          <w:numId w:val="1"/>
        </w:numPr>
        <w:spacing w:after="0" w:line="269" w:lineRule="auto"/>
        <w:jc w:val="both"/>
        <w:rPr>
          <w:lang w:val="fr-FR"/>
        </w:rPr>
      </w:pPr>
      <w:r w:rsidRPr="00114CA1">
        <w:rPr>
          <w:lang w:val="fr-FR"/>
        </w:rPr>
        <w:t>Déterminer la nature des articles à acheter –</w:t>
      </w:r>
      <w:r>
        <w:rPr>
          <w:lang w:val="fr-FR"/>
        </w:rPr>
        <w:t xml:space="preserve"> </w:t>
      </w:r>
      <w:r w:rsidRPr="00114CA1">
        <w:rPr>
          <w:lang w:val="fr-FR"/>
        </w:rPr>
        <w:t>C’est-à-dire identifier les biens, travaux et services /</w:t>
      </w:r>
      <w:r>
        <w:rPr>
          <w:lang w:val="fr-FR"/>
        </w:rPr>
        <w:t xml:space="preserve"> services de consultation de l’</w:t>
      </w:r>
      <w:r w:rsidRPr="00114CA1">
        <w:rPr>
          <w:lang w:val="fr-FR"/>
        </w:rPr>
        <w:t>énoncé budgétaire</w:t>
      </w:r>
      <w:r w:rsidR="00B05007">
        <w:rPr>
          <w:lang w:val="fr-FR"/>
        </w:rPr>
        <w:t xml:space="preserve"> (</w:t>
      </w:r>
      <w:proofErr w:type="spellStart"/>
      <w:r w:rsidR="00B05007">
        <w:rPr>
          <w:lang w:val="fr-FR"/>
        </w:rPr>
        <w:t>ref</w:t>
      </w:r>
      <w:proofErr w:type="spellEnd"/>
      <w:r w:rsidR="00B05007">
        <w:rPr>
          <w:lang w:val="fr-FR"/>
        </w:rPr>
        <w:t xml:space="preserve"> l’animation ci-joint pour les définitions de ces catégories d’articles)</w:t>
      </w:r>
      <w:r w:rsidRPr="00114CA1">
        <w:rPr>
          <w:lang w:val="fr-FR"/>
        </w:rPr>
        <w:t>.</w:t>
      </w:r>
    </w:p>
    <w:p w:rsidR="00B05007" w:rsidRDefault="00114CA1" w:rsidP="008440A0">
      <w:pPr>
        <w:pStyle w:val="ListParagraph"/>
        <w:numPr>
          <w:ilvl w:val="0"/>
          <w:numId w:val="1"/>
        </w:numPr>
        <w:spacing w:after="0" w:line="269" w:lineRule="auto"/>
        <w:jc w:val="both"/>
        <w:rPr>
          <w:lang w:val="fr-FR"/>
        </w:rPr>
      </w:pPr>
      <w:r w:rsidRPr="00114CA1">
        <w:rPr>
          <w:lang w:val="fr-FR"/>
        </w:rPr>
        <w:t>En règle générale</w:t>
      </w:r>
      <w:r w:rsidR="004D5CC5">
        <w:rPr>
          <w:lang w:val="fr-FR"/>
        </w:rPr>
        <w:t xml:space="preserve">, les biens, les travaux et les </w:t>
      </w:r>
      <w:r w:rsidRPr="00114CA1">
        <w:rPr>
          <w:lang w:val="fr-FR"/>
        </w:rPr>
        <w:t>services</w:t>
      </w:r>
      <w:r w:rsidR="00A97B4F">
        <w:rPr>
          <w:lang w:val="fr-FR"/>
        </w:rPr>
        <w:t xml:space="preserve"> autres que les services de </w:t>
      </w:r>
      <w:r w:rsidR="005A74FE">
        <w:rPr>
          <w:lang w:val="fr-FR"/>
        </w:rPr>
        <w:t>consultance</w:t>
      </w:r>
      <w:r w:rsidRPr="00114CA1">
        <w:rPr>
          <w:lang w:val="fr-FR"/>
        </w:rPr>
        <w:t>, sont regroupés séparément des services de consulta</w:t>
      </w:r>
      <w:r w:rsidR="00B05007">
        <w:rPr>
          <w:lang w:val="fr-FR"/>
        </w:rPr>
        <w:t>nts</w:t>
      </w:r>
      <w:r w:rsidRPr="00114CA1">
        <w:rPr>
          <w:lang w:val="fr-FR"/>
        </w:rPr>
        <w:t xml:space="preserve"> car il existe des méthodes de passation des marchés spécifiques identifiées pour chaque groupe</w:t>
      </w:r>
      <w:r>
        <w:rPr>
          <w:lang w:val="fr-FR"/>
        </w:rPr>
        <w:t>.</w:t>
      </w:r>
    </w:p>
    <w:p w:rsidR="001F62CC" w:rsidRDefault="00B05007" w:rsidP="008440A0">
      <w:pPr>
        <w:pStyle w:val="ListParagraph"/>
        <w:numPr>
          <w:ilvl w:val="0"/>
          <w:numId w:val="1"/>
        </w:numPr>
        <w:spacing w:after="0" w:line="269" w:lineRule="auto"/>
        <w:jc w:val="both"/>
        <w:rPr>
          <w:lang w:val="fr-FR"/>
        </w:rPr>
      </w:pPr>
      <w:r>
        <w:rPr>
          <w:lang w:val="fr-FR"/>
        </w:rPr>
        <w:t>L</w:t>
      </w:r>
      <w:r w:rsidRPr="00B05007">
        <w:rPr>
          <w:lang w:val="fr-FR"/>
        </w:rPr>
        <w:t>es coûts opérationnels comme</w:t>
      </w:r>
      <w:r>
        <w:rPr>
          <w:lang w:val="fr-FR"/>
        </w:rPr>
        <w:t xml:space="preserve"> par exemple</w:t>
      </w:r>
      <w:r w:rsidRPr="00B05007">
        <w:rPr>
          <w:lang w:val="fr-FR"/>
        </w:rPr>
        <w:t xml:space="preserve"> les services publics, les renouvellements de licences, les </w:t>
      </w:r>
      <w:r>
        <w:rPr>
          <w:lang w:val="fr-FR"/>
        </w:rPr>
        <w:t>abonnements</w:t>
      </w:r>
      <w:r w:rsidRPr="00B05007">
        <w:rPr>
          <w:lang w:val="fr-FR"/>
        </w:rPr>
        <w:t xml:space="preserve">, les enquêteurs, contrats </w:t>
      </w:r>
      <w:r>
        <w:rPr>
          <w:lang w:val="fr-FR"/>
        </w:rPr>
        <w:t>d’entretien</w:t>
      </w:r>
      <w:r w:rsidRPr="00B05007">
        <w:rPr>
          <w:lang w:val="fr-FR"/>
        </w:rPr>
        <w:t>,  etc.</w:t>
      </w:r>
      <w:r>
        <w:rPr>
          <w:lang w:val="fr-FR"/>
        </w:rPr>
        <w:t xml:space="preserve"> ne figurent pas sur le plan parce qu’ils sont pris en charge par les directives opérationnelles.</w:t>
      </w:r>
    </w:p>
    <w:p w:rsidR="00A97B4F" w:rsidRDefault="00A97B4F" w:rsidP="008440A0">
      <w:pPr>
        <w:pStyle w:val="ListParagraph"/>
        <w:numPr>
          <w:ilvl w:val="0"/>
          <w:numId w:val="1"/>
        </w:numPr>
        <w:spacing w:after="0" w:line="269" w:lineRule="auto"/>
        <w:jc w:val="both"/>
        <w:rPr>
          <w:lang w:val="fr-FR"/>
        </w:rPr>
      </w:pPr>
      <w:r>
        <w:rPr>
          <w:lang w:val="fr-FR"/>
        </w:rPr>
        <w:t xml:space="preserve">Consolider les articles similaires </w:t>
      </w:r>
      <w:proofErr w:type="spellStart"/>
      <w:r>
        <w:rPr>
          <w:lang w:val="fr-FR"/>
        </w:rPr>
        <w:t>e.g</w:t>
      </w:r>
      <w:proofErr w:type="spellEnd"/>
      <w:r>
        <w:rPr>
          <w:lang w:val="fr-FR"/>
        </w:rPr>
        <w:t>. ordinateurs, imprimante, photocopieuse dans une seule activité.</w:t>
      </w:r>
    </w:p>
    <w:p w:rsidR="00B05007" w:rsidRDefault="00B05007" w:rsidP="00B05007">
      <w:pPr>
        <w:spacing w:after="0"/>
        <w:jc w:val="both"/>
        <w:rPr>
          <w:lang w:val="fr-FR"/>
        </w:rPr>
      </w:pPr>
    </w:p>
    <w:p w:rsidR="004D5CC5" w:rsidRPr="004D5CC5" w:rsidRDefault="004D5CC5" w:rsidP="00B05007">
      <w:pPr>
        <w:spacing w:after="0"/>
        <w:jc w:val="both"/>
        <w:rPr>
          <w:b/>
          <w:sz w:val="24"/>
          <w:szCs w:val="24"/>
          <w:lang w:val="fr-FR"/>
        </w:rPr>
      </w:pPr>
      <w:r w:rsidRPr="004D5CC5">
        <w:rPr>
          <w:b/>
          <w:sz w:val="24"/>
          <w:szCs w:val="24"/>
          <w:lang w:val="fr-FR"/>
        </w:rPr>
        <w:t>Préparation du Plan</w:t>
      </w:r>
    </w:p>
    <w:p w:rsidR="00A97B4F" w:rsidRDefault="00A97B4F" w:rsidP="00A97B4F">
      <w:pPr>
        <w:pStyle w:val="ListParagraph"/>
        <w:numPr>
          <w:ilvl w:val="0"/>
          <w:numId w:val="1"/>
        </w:numPr>
        <w:spacing w:after="0"/>
        <w:jc w:val="both"/>
        <w:rPr>
          <w:lang w:val="fr-FR"/>
        </w:rPr>
      </w:pPr>
      <w:r>
        <w:rPr>
          <w:lang w:val="fr-FR"/>
        </w:rPr>
        <w:t xml:space="preserve">Apres avoir </w:t>
      </w:r>
      <w:r w:rsidRPr="004D5CC5">
        <w:rPr>
          <w:lang w:val="fr-FR"/>
        </w:rPr>
        <w:t xml:space="preserve">déterminé </w:t>
      </w:r>
      <w:r w:rsidR="004D5CC5" w:rsidRPr="004D5CC5">
        <w:rPr>
          <w:lang w:val="fr-FR"/>
        </w:rPr>
        <w:t xml:space="preserve">la nature des biens ou services à acquérir, établir le budget </w:t>
      </w:r>
      <w:r>
        <w:rPr>
          <w:lang w:val="fr-FR"/>
        </w:rPr>
        <w:t>l’activité</w:t>
      </w:r>
      <w:r w:rsidR="004D5CC5" w:rsidRPr="004D5CC5">
        <w:rPr>
          <w:lang w:val="fr-FR"/>
        </w:rPr>
        <w:t xml:space="preserve"> réel des produits ou services désignés. Pour les services de consultation, le montant prévu sur le plan de passation des marchés </w:t>
      </w:r>
      <w:r>
        <w:rPr>
          <w:lang w:val="fr-FR"/>
        </w:rPr>
        <w:t>c’</w:t>
      </w:r>
      <w:r w:rsidR="004D5CC5" w:rsidRPr="004D5CC5">
        <w:rPr>
          <w:lang w:val="fr-FR"/>
        </w:rPr>
        <w:t xml:space="preserve">est pour les </w:t>
      </w:r>
      <w:r>
        <w:rPr>
          <w:lang w:val="fr-FR"/>
        </w:rPr>
        <w:t>honoraires</w:t>
      </w:r>
      <w:r w:rsidR="004D5CC5" w:rsidRPr="004D5CC5">
        <w:rPr>
          <w:lang w:val="fr-FR"/>
        </w:rPr>
        <w:t xml:space="preserve"> seulement. </w:t>
      </w:r>
      <w:r>
        <w:rPr>
          <w:lang w:val="fr-FR"/>
        </w:rPr>
        <w:t>Les frais accessoires tels que les frais de v</w:t>
      </w:r>
      <w:r w:rsidR="004D5CC5" w:rsidRPr="004D5CC5">
        <w:rPr>
          <w:lang w:val="fr-FR"/>
        </w:rPr>
        <w:t>oyage et</w:t>
      </w:r>
      <w:r>
        <w:rPr>
          <w:lang w:val="fr-FR"/>
        </w:rPr>
        <w:t xml:space="preserve"> d’</w:t>
      </w:r>
      <w:r w:rsidR="004D5CC5" w:rsidRPr="004D5CC5">
        <w:rPr>
          <w:lang w:val="fr-FR"/>
        </w:rPr>
        <w:t>hébergement ne devraient pas être inclus dans le montant prévu.</w:t>
      </w:r>
    </w:p>
    <w:p w:rsidR="00B859FC" w:rsidRDefault="00B859FC" w:rsidP="00B859FC">
      <w:pPr>
        <w:pStyle w:val="ListParagraph"/>
        <w:numPr>
          <w:ilvl w:val="0"/>
          <w:numId w:val="1"/>
        </w:numPr>
        <w:spacing w:after="0"/>
        <w:jc w:val="both"/>
        <w:rPr>
          <w:lang w:val="fr-FR"/>
        </w:rPr>
      </w:pPr>
      <w:r>
        <w:rPr>
          <w:rStyle w:val="hps"/>
          <w:lang w:val="fr-FR"/>
        </w:rPr>
        <w:t>Ayant</w:t>
      </w:r>
      <w:r w:rsidR="00A97B4F" w:rsidRPr="00A97B4F">
        <w:rPr>
          <w:lang w:val="fr-FR"/>
        </w:rPr>
        <w:t xml:space="preserve"> </w:t>
      </w:r>
      <w:r w:rsidRPr="00A97B4F">
        <w:rPr>
          <w:rStyle w:val="hps"/>
          <w:lang w:val="fr-FR"/>
        </w:rPr>
        <w:t>identifié et</w:t>
      </w:r>
      <w:r w:rsidRPr="00A97B4F">
        <w:rPr>
          <w:lang w:val="fr-FR"/>
        </w:rPr>
        <w:t xml:space="preserve"> </w:t>
      </w:r>
      <w:r w:rsidRPr="00A97B4F">
        <w:rPr>
          <w:rStyle w:val="hps"/>
          <w:lang w:val="fr-FR"/>
        </w:rPr>
        <w:t xml:space="preserve">défini </w:t>
      </w:r>
      <w:r w:rsidR="00A97B4F" w:rsidRPr="00A97B4F">
        <w:rPr>
          <w:rStyle w:val="hps"/>
          <w:lang w:val="fr-FR"/>
        </w:rPr>
        <w:t>la nature de</w:t>
      </w:r>
      <w:r w:rsidR="00A97B4F" w:rsidRPr="00A97B4F">
        <w:rPr>
          <w:lang w:val="fr-FR"/>
        </w:rPr>
        <w:t xml:space="preserve"> </w:t>
      </w:r>
      <w:r w:rsidR="00A97B4F" w:rsidRPr="00A97B4F">
        <w:rPr>
          <w:rStyle w:val="hps"/>
          <w:lang w:val="fr-FR"/>
        </w:rPr>
        <w:t>l'acquisition</w:t>
      </w:r>
      <w:r w:rsidR="00A97B4F" w:rsidRPr="00A97B4F">
        <w:rPr>
          <w:lang w:val="fr-FR"/>
        </w:rPr>
        <w:t xml:space="preserve">, insérez </w:t>
      </w:r>
      <w:r w:rsidR="00A97B4F" w:rsidRPr="00A97B4F">
        <w:rPr>
          <w:rStyle w:val="hps"/>
          <w:lang w:val="fr-FR"/>
        </w:rPr>
        <w:t>la description</w:t>
      </w:r>
      <w:r w:rsidR="00A97B4F" w:rsidRPr="00A97B4F">
        <w:rPr>
          <w:lang w:val="fr-FR"/>
        </w:rPr>
        <w:t xml:space="preserve"> </w:t>
      </w:r>
      <w:r w:rsidR="00A97B4F" w:rsidRPr="00A97B4F">
        <w:rPr>
          <w:rStyle w:val="hps"/>
          <w:lang w:val="fr-FR"/>
        </w:rPr>
        <w:t>des biens ou des</w:t>
      </w:r>
      <w:r w:rsidR="00A97B4F" w:rsidRPr="00A97B4F">
        <w:rPr>
          <w:lang w:val="fr-FR"/>
        </w:rPr>
        <w:t xml:space="preserve"> </w:t>
      </w:r>
      <w:r w:rsidR="00A97B4F" w:rsidRPr="00A97B4F">
        <w:rPr>
          <w:rStyle w:val="hps"/>
          <w:lang w:val="fr-FR"/>
        </w:rPr>
        <w:t>services connexes</w:t>
      </w:r>
      <w:r w:rsidR="00A97B4F" w:rsidRPr="00A97B4F">
        <w:rPr>
          <w:lang w:val="fr-FR"/>
        </w:rPr>
        <w:t xml:space="preserve"> </w:t>
      </w:r>
      <w:r w:rsidR="00A97B4F" w:rsidRPr="00A97B4F">
        <w:rPr>
          <w:rStyle w:val="hps"/>
          <w:lang w:val="fr-FR"/>
        </w:rPr>
        <w:t>dans la section</w:t>
      </w:r>
      <w:r w:rsidR="00A97B4F" w:rsidRPr="00A97B4F">
        <w:rPr>
          <w:lang w:val="fr-FR"/>
        </w:rPr>
        <w:t xml:space="preserve"> </w:t>
      </w:r>
      <w:r w:rsidR="00A97B4F" w:rsidRPr="00A97B4F">
        <w:rPr>
          <w:rStyle w:val="hps"/>
          <w:lang w:val="fr-FR"/>
        </w:rPr>
        <w:t>pertinente du plan</w:t>
      </w:r>
      <w:r w:rsidR="00A97B4F" w:rsidRPr="00A97B4F">
        <w:rPr>
          <w:lang w:val="fr-FR"/>
        </w:rPr>
        <w:t xml:space="preserve"> </w:t>
      </w:r>
      <w:r w:rsidR="00A97B4F" w:rsidRPr="00A97B4F">
        <w:rPr>
          <w:rStyle w:val="hps"/>
          <w:lang w:val="fr-FR"/>
        </w:rPr>
        <w:t>de passation des marchés</w:t>
      </w:r>
      <w:r>
        <w:rPr>
          <w:rStyle w:val="hps"/>
          <w:lang w:val="fr-FR"/>
        </w:rPr>
        <w:t>,</w:t>
      </w:r>
      <w:r w:rsidR="00A97B4F" w:rsidRPr="00A97B4F">
        <w:rPr>
          <w:lang w:val="fr-FR"/>
        </w:rPr>
        <w:t xml:space="preserve"> </w:t>
      </w:r>
      <w:r w:rsidR="00A97B4F" w:rsidRPr="00A97B4F">
        <w:rPr>
          <w:rStyle w:val="hps"/>
          <w:lang w:val="fr-FR"/>
        </w:rPr>
        <w:t>avec cha</w:t>
      </w:r>
      <w:r>
        <w:rPr>
          <w:rStyle w:val="hps"/>
          <w:lang w:val="fr-FR"/>
        </w:rPr>
        <w:t>qu</w:t>
      </w:r>
      <w:r w:rsidR="00A97B4F" w:rsidRPr="00A97B4F">
        <w:rPr>
          <w:rStyle w:val="hps"/>
          <w:lang w:val="fr-FR"/>
        </w:rPr>
        <w:t>e</w:t>
      </w:r>
      <w:r>
        <w:rPr>
          <w:rStyle w:val="hps"/>
          <w:lang w:val="fr-FR"/>
        </w:rPr>
        <w:t xml:space="preserve"> activité</w:t>
      </w:r>
      <w:r w:rsidR="00A97B4F" w:rsidRPr="00A97B4F">
        <w:rPr>
          <w:lang w:val="fr-FR"/>
        </w:rPr>
        <w:t xml:space="preserve"> </w:t>
      </w:r>
      <w:r w:rsidR="00A97B4F" w:rsidRPr="00A97B4F">
        <w:rPr>
          <w:rStyle w:val="hps"/>
          <w:lang w:val="fr-FR"/>
        </w:rPr>
        <w:t>sur sa propre ligne</w:t>
      </w:r>
      <w:r w:rsidR="00A97B4F" w:rsidRPr="00A97B4F">
        <w:rPr>
          <w:lang w:val="fr-FR"/>
        </w:rPr>
        <w:t>.</w:t>
      </w:r>
    </w:p>
    <w:p w:rsidR="001F62CC" w:rsidRPr="00B859FC" w:rsidRDefault="00B859FC" w:rsidP="00B859FC">
      <w:pPr>
        <w:pStyle w:val="ListParagraph"/>
        <w:numPr>
          <w:ilvl w:val="0"/>
          <w:numId w:val="1"/>
        </w:numPr>
        <w:spacing w:after="0"/>
        <w:jc w:val="both"/>
        <w:rPr>
          <w:lang w:val="fr-FR"/>
        </w:rPr>
      </w:pPr>
      <w:r w:rsidRPr="00B859FC">
        <w:rPr>
          <w:lang w:val="fr-FR"/>
        </w:rPr>
        <w:t xml:space="preserve">Afin </w:t>
      </w:r>
      <w:r>
        <w:rPr>
          <w:lang w:val="fr-FR"/>
        </w:rPr>
        <w:t>de</w:t>
      </w:r>
      <w:r w:rsidRPr="00B859FC">
        <w:rPr>
          <w:lang w:val="fr-FR"/>
        </w:rPr>
        <w:t xml:space="preserve"> déterminer le budget et la méthode de passation des marchés pour le </w:t>
      </w:r>
      <w:r>
        <w:rPr>
          <w:lang w:val="fr-FR"/>
        </w:rPr>
        <w:t>marché prévu</w:t>
      </w:r>
      <w:r w:rsidRPr="00B859FC">
        <w:rPr>
          <w:lang w:val="fr-FR"/>
        </w:rPr>
        <w:t xml:space="preserve">, il est utile </w:t>
      </w:r>
      <w:r>
        <w:rPr>
          <w:lang w:val="fr-FR"/>
        </w:rPr>
        <w:t xml:space="preserve">de </w:t>
      </w:r>
      <w:r w:rsidRPr="00B859FC">
        <w:rPr>
          <w:lang w:val="fr-FR"/>
        </w:rPr>
        <w:t xml:space="preserve">rédiger les spécifications </w:t>
      </w:r>
      <w:r>
        <w:rPr>
          <w:lang w:val="fr-FR"/>
        </w:rPr>
        <w:t>techniques de biens/travaux/services</w:t>
      </w:r>
      <w:r w:rsidRPr="00B859FC">
        <w:rPr>
          <w:lang w:val="fr-FR"/>
        </w:rPr>
        <w:t>, ou les termes de référence pour les services de consulta</w:t>
      </w:r>
      <w:r>
        <w:rPr>
          <w:lang w:val="fr-FR"/>
        </w:rPr>
        <w:t>nce</w:t>
      </w:r>
      <w:r w:rsidRPr="00B859FC">
        <w:rPr>
          <w:lang w:val="fr-FR"/>
        </w:rPr>
        <w:t xml:space="preserve"> et d'entrep</w:t>
      </w:r>
      <w:r>
        <w:rPr>
          <w:lang w:val="fr-FR"/>
        </w:rPr>
        <w:t xml:space="preserve">rendre une </w:t>
      </w:r>
      <w:r w:rsidRPr="00B859FC">
        <w:rPr>
          <w:lang w:val="fr-FR"/>
        </w:rPr>
        <w:t>certain étude de marché sur les prix</w:t>
      </w:r>
      <w:r>
        <w:rPr>
          <w:lang w:val="fr-FR"/>
        </w:rPr>
        <w:t xml:space="preserve"> / honoraires</w:t>
      </w:r>
      <w:r w:rsidRPr="00B859FC">
        <w:rPr>
          <w:lang w:val="fr-FR"/>
        </w:rPr>
        <w:t xml:space="preserve"> en vigueur </w:t>
      </w:r>
      <w:r>
        <w:rPr>
          <w:lang w:val="fr-FR"/>
        </w:rPr>
        <w:t>pour les biens ou l</w:t>
      </w:r>
      <w:r w:rsidRPr="00B859FC">
        <w:rPr>
          <w:lang w:val="fr-FR"/>
        </w:rPr>
        <w:t xml:space="preserve">es services. </w:t>
      </w:r>
      <w:r>
        <w:rPr>
          <w:lang w:val="fr-FR"/>
        </w:rPr>
        <w:t>Les T</w:t>
      </w:r>
      <w:r w:rsidRPr="00B859FC">
        <w:rPr>
          <w:lang w:val="fr-FR"/>
        </w:rPr>
        <w:t xml:space="preserve">ermes de référence </w:t>
      </w:r>
      <w:r>
        <w:rPr>
          <w:lang w:val="fr-FR"/>
        </w:rPr>
        <w:t xml:space="preserve">provisoires </w:t>
      </w:r>
      <w:r w:rsidRPr="00B859FC">
        <w:rPr>
          <w:lang w:val="fr-FR"/>
        </w:rPr>
        <w:t xml:space="preserve">seront également </w:t>
      </w:r>
      <w:r w:rsidR="009C1A1D">
        <w:rPr>
          <w:lang w:val="fr-FR"/>
        </w:rPr>
        <w:t>utiles</w:t>
      </w:r>
      <w:r>
        <w:rPr>
          <w:lang w:val="fr-FR"/>
        </w:rPr>
        <w:t xml:space="preserve"> </w:t>
      </w:r>
      <w:r w:rsidR="009C1A1D">
        <w:rPr>
          <w:lang w:val="fr-FR"/>
        </w:rPr>
        <w:t>à</w:t>
      </w:r>
      <w:r>
        <w:rPr>
          <w:lang w:val="fr-FR"/>
        </w:rPr>
        <w:t xml:space="preserve"> fins de</w:t>
      </w:r>
      <w:r w:rsidRPr="00B859FC">
        <w:rPr>
          <w:lang w:val="fr-FR"/>
        </w:rPr>
        <w:t xml:space="preserve"> déterminer </w:t>
      </w:r>
      <w:r>
        <w:rPr>
          <w:lang w:val="fr-FR"/>
        </w:rPr>
        <w:t>si le projet</w:t>
      </w:r>
      <w:r w:rsidRPr="00B859FC">
        <w:rPr>
          <w:lang w:val="fr-FR"/>
        </w:rPr>
        <w:t xml:space="preserve"> a besoin </w:t>
      </w:r>
      <w:r>
        <w:rPr>
          <w:lang w:val="fr-FR"/>
        </w:rPr>
        <w:t>de contracter</w:t>
      </w:r>
      <w:r w:rsidRPr="00B859FC">
        <w:rPr>
          <w:lang w:val="fr-FR"/>
        </w:rPr>
        <w:t xml:space="preserve"> </w:t>
      </w:r>
      <w:r>
        <w:rPr>
          <w:lang w:val="fr-FR"/>
        </w:rPr>
        <w:t>cabinet ou bien</w:t>
      </w:r>
      <w:r w:rsidRPr="00B859FC">
        <w:rPr>
          <w:lang w:val="fr-FR"/>
        </w:rPr>
        <w:t xml:space="preserve"> consultant individuel.</w:t>
      </w:r>
    </w:p>
    <w:p w:rsidR="006244E6" w:rsidRDefault="00B859FC" w:rsidP="006B77B9">
      <w:pPr>
        <w:pStyle w:val="ListParagraph"/>
        <w:numPr>
          <w:ilvl w:val="0"/>
          <w:numId w:val="1"/>
        </w:numPr>
        <w:spacing w:after="0"/>
        <w:jc w:val="both"/>
        <w:rPr>
          <w:lang w:val="fr-FR"/>
        </w:rPr>
      </w:pPr>
      <w:r w:rsidRPr="00B859FC">
        <w:rPr>
          <w:lang w:val="fr-FR"/>
        </w:rPr>
        <w:t xml:space="preserve">Apres avoir noté la description de l’article </w:t>
      </w:r>
      <w:r w:rsidR="005A74FE" w:rsidRPr="00B859FC">
        <w:rPr>
          <w:lang w:val="fr-FR"/>
        </w:rPr>
        <w:t>à</w:t>
      </w:r>
      <w:r w:rsidRPr="00B859FC">
        <w:rPr>
          <w:lang w:val="fr-FR"/>
        </w:rPr>
        <w:t xml:space="preserve"> acquérir</w:t>
      </w:r>
      <w:r>
        <w:rPr>
          <w:lang w:val="fr-FR"/>
        </w:rPr>
        <w:t xml:space="preserve"> et</w:t>
      </w:r>
      <w:r w:rsidRPr="00B859FC">
        <w:rPr>
          <w:lang w:val="fr-FR"/>
        </w:rPr>
        <w:t xml:space="preserve"> le budget prévu</w:t>
      </w:r>
      <w:r>
        <w:rPr>
          <w:lang w:val="fr-FR"/>
        </w:rPr>
        <w:t>, il faut insérer la source de fonds (c’est-à-dire le bailleur de fonds). Pour les activités finances par l’ACBF, il faut insérer ACBF sous cette colonne.</w:t>
      </w:r>
    </w:p>
    <w:p w:rsidR="00B859FC" w:rsidRPr="00B859FC" w:rsidRDefault="005A74FE" w:rsidP="006B77B9">
      <w:pPr>
        <w:pStyle w:val="ListParagraph"/>
        <w:numPr>
          <w:ilvl w:val="0"/>
          <w:numId w:val="1"/>
        </w:numPr>
        <w:spacing w:after="0"/>
        <w:jc w:val="both"/>
        <w:rPr>
          <w:lang w:val="fr-FR"/>
        </w:rPr>
      </w:pPr>
      <w:r>
        <w:rPr>
          <w:lang w:val="fr-FR"/>
        </w:rPr>
        <w:lastRenderedPageBreak/>
        <w:t>Noter sur le plan si l’activité c’est pour la revue Préalable ou Ex-Post de l’ACBF, selon le budget prévu et les seuils indique sur le plan.</w:t>
      </w:r>
      <w:r w:rsidR="009C1A1D">
        <w:rPr>
          <w:rStyle w:val="FootnoteReference"/>
          <w:lang w:val="fr-FR"/>
        </w:rPr>
        <w:footnoteReference w:id="3"/>
      </w:r>
    </w:p>
    <w:p w:rsidR="002F3B0C" w:rsidRDefault="00B859FC" w:rsidP="005A74FE">
      <w:pPr>
        <w:pStyle w:val="ListParagraph"/>
        <w:numPr>
          <w:ilvl w:val="0"/>
          <w:numId w:val="1"/>
        </w:numPr>
        <w:spacing w:after="0"/>
        <w:jc w:val="both"/>
        <w:rPr>
          <w:lang w:val="fr-FR"/>
        </w:rPr>
      </w:pPr>
      <w:r w:rsidRPr="005A74FE">
        <w:rPr>
          <w:lang w:val="fr-FR"/>
        </w:rPr>
        <w:t xml:space="preserve">Afin de </w:t>
      </w:r>
      <w:r w:rsidR="005A74FE" w:rsidRPr="005A74FE">
        <w:rPr>
          <w:lang w:val="fr-FR"/>
        </w:rPr>
        <w:t xml:space="preserve">compléter la calendarization du plan, il faut consulter le plan annuel de travail, pour déterminer la période requise pour l’attribution du contrat de chaque activité. Le projet devrait permettre </w:t>
      </w:r>
      <w:r w:rsidR="005A74FE">
        <w:rPr>
          <w:lang w:val="fr-FR"/>
        </w:rPr>
        <w:t>assez de temps</w:t>
      </w:r>
      <w:r w:rsidR="005A74FE" w:rsidRPr="005A74FE">
        <w:rPr>
          <w:lang w:val="fr-FR"/>
        </w:rPr>
        <w:t xml:space="preserve"> entre cette </w:t>
      </w:r>
      <w:r w:rsidR="005A74FE">
        <w:rPr>
          <w:lang w:val="fr-FR"/>
        </w:rPr>
        <w:t>date</w:t>
      </w:r>
      <w:r w:rsidR="005A74FE" w:rsidRPr="005A74FE">
        <w:rPr>
          <w:lang w:val="fr-FR"/>
        </w:rPr>
        <w:t xml:space="preserve"> et le </w:t>
      </w:r>
      <w:r w:rsidR="005A74FE">
        <w:rPr>
          <w:lang w:val="fr-FR"/>
        </w:rPr>
        <w:t xml:space="preserve">lancement du processus de PPM, tenant compte du temps qu’il faut pour </w:t>
      </w:r>
      <w:r w:rsidR="002F3B0C">
        <w:rPr>
          <w:lang w:val="fr-FR"/>
        </w:rPr>
        <w:t>compléter</w:t>
      </w:r>
      <w:r w:rsidR="005A74FE">
        <w:rPr>
          <w:lang w:val="fr-FR"/>
        </w:rPr>
        <w:t xml:space="preserve"> tous les </w:t>
      </w:r>
      <w:r w:rsidR="002F3B0C">
        <w:rPr>
          <w:lang w:val="fr-FR"/>
        </w:rPr>
        <w:t>processus</w:t>
      </w:r>
      <w:r w:rsidR="005A74FE">
        <w:rPr>
          <w:lang w:val="fr-FR"/>
        </w:rPr>
        <w:t xml:space="preserve"> de PPM selon la </w:t>
      </w:r>
      <w:r w:rsidR="002F3B0C">
        <w:rPr>
          <w:lang w:val="fr-FR"/>
        </w:rPr>
        <w:t>méthode. Insérer donc les dates correspondantes a cette calendarization sous colonnes 10, 11, 12 (Section 1 – Biens, Travaux, Services) et sous colonnes 8, 9, 10 (Section II – Services de Consultance).</w:t>
      </w:r>
    </w:p>
    <w:p w:rsidR="002F3B0C" w:rsidRPr="002F3B0C" w:rsidRDefault="002F3B0C" w:rsidP="005A74FE">
      <w:pPr>
        <w:pStyle w:val="ListParagraph"/>
        <w:numPr>
          <w:ilvl w:val="0"/>
          <w:numId w:val="1"/>
        </w:numPr>
        <w:spacing w:after="0"/>
        <w:jc w:val="both"/>
        <w:rPr>
          <w:lang w:val="fr-FR"/>
        </w:rPr>
      </w:pPr>
      <w:r>
        <w:rPr>
          <w:lang w:val="fr-FR"/>
        </w:rPr>
        <w:t>Sous la co</w:t>
      </w:r>
      <w:r w:rsidR="005D26CE">
        <w:rPr>
          <w:lang w:val="fr-FR"/>
        </w:rPr>
        <w:t>lo</w:t>
      </w:r>
      <w:r>
        <w:rPr>
          <w:lang w:val="fr-FR"/>
        </w:rPr>
        <w:t>nne titr</w:t>
      </w:r>
      <w:r w:rsidR="00CE6CD5">
        <w:rPr>
          <w:rFonts w:cstheme="minorHAnsi"/>
          <w:lang w:val="fr-FR"/>
        </w:rPr>
        <w:t>é</w:t>
      </w:r>
      <w:r>
        <w:rPr>
          <w:lang w:val="fr-FR"/>
        </w:rPr>
        <w:t xml:space="preserve"> ‘ Commentaires’ if faut noter les commentaires pertinentes a l’attention de l’ACBF comme par exemple, la justification de l’emp</w:t>
      </w:r>
      <w:bookmarkStart w:id="0" w:name="_GoBack"/>
      <w:bookmarkEnd w:id="0"/>
      <w:r>
        <w:rPr>
          <w:lang w:val="fr-FR"/>
        </w:rPr>
        <w:t>loi de la méthode de Contrats Directs ou Sélection à partir d’une source unique, pour soutenir pourquoi ces méthodes ont été choisi puis qu’elles ne sont pas encouragées.</w:t>
      </w:r>
    </w:p>
    <w:p w:rsidR="001F62CC" w:rsidRPr="002F3B0C" w:rsidRDefault="001F62CC" w:rsidP="002F3B0C">
      <w:pPr>
        <w:spacing w:after="0"/>
        <w:ind w:left="360"/>
        <w:jc w:val="both"/>
        <w:rPr>
          <w:lang w:val="fr-FR"/>
        </w:rPr>
      </w:pPr>
    </w:p>
    <w:sectPr w:rsidR="001F62CC" w:rsidRPr="002F3B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0A0" w:rsidRDefault="008440A0" w:rsidP="00676D29">
      <w:pPr>
        <w:spacing w:after="0" w:line="240" w:lineRule="auto"/>
      </w:pPr>
      <w:r>
        <w:separator/>
      </w:r>
    </w:p>
  </w:endnote>
  <w:endnote w:type="continuationSeparator" w:id="0">
    <w:p w:rsidR="008440A0" w:rsidRDefault="008440A0" w:rsidP="0067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0A0" w:rsidRDefault="008440A0" w:rsidP="00676D29">
      <w:pPr>
        <w:spacing w:after="0" w:line="240" w:lineRule="auto"/>
      </w:pPr>
      <w:r>
        <w:separator/>
      </w:r>
    </w:p>
  </w:footnote>
  <w:footnote w:type="continuationSeparator" w:id="0">
    <w:p w:rsidR="008440A0" w:rsidRDefault="008440A0" w:rsidP="00676D29">
      <w:pPr>
        <w:spacing w:after="0" w:line="240" w:lineRule="auto"/>
      </w:pPr>
      <w:r>
        <w:continuationSeparator/>
      </w:r>
    </w:p>
  </w:footnote>
  <w:footnote w:id="1">
    <w:p w:rsidR="008440A0" w:rsidRPr="00676D29" w:rsidRDefault="008440A0">
      <w:pPr>
        <w:pStyle w:val="FootnoteText"/>
        <w:rPr>
          <w:sz w:val="16"/>
          <w:szCs w:val="16"/>
          <w:lang w:val="fr-FR"/>
        </w:rPr>
      </w:pPr>
      <w:r>
        <w:rPr>
          <w:rStyle w:val="FootnoteReference"/>
        </w:rPr>
        <w:footnoteRef/>
      </w:r>
      <w:r w:rsidRPr="00676D29">
        <w:rPr>
          <w:lang w:val="fr-FR"/>
        </w:rPr>
        <w:t xml:space="preserve"> </w:t>
      </w:r>
      <w:r w:rsidRPr="00676D29">
        <w:rPr>
          <w:sz w:val="16"/>
          <w:szCs w:val="16"/>
          <w:lang w:val="fr-FR"/>
        </w:rPr>
        <w:t>Seuil pour la revue Préalable /Ex</w:t>
      </w:r>
      <w:r>
        <w:rPr>
          <w:sz w:val="16"/>
          <w:szCs w:val="16"/>
          <w:lang w:val="fr-FR"/>
        </w:rPr>
        <w:t>-</w:t>
      </w:r>
      <w:r w:rsidRPr="00676D29">
        <w:rPr>
          <w:sz w:val="16"/>
          <w:szCs w:val="16"/>
          <w:lang w:val="fr-FR"/>
        </w:rPr>
        <w:t xml:space="preserve">post de l’ACBF </w:t>
      </w:r>
      <w:r>
        <w:rPr>
          <w:sz w:val="16"/>
          <w:szCs w:val="16"/>
          <w:lang w:val="fr-FR"/>
        </w:rPr>
        <w:t>– Pour tout article dont le budget prévu dépasse le montant tel comme défini sous le tableau pour chaque méthode, il faut soumettre le processus de ppm a l »ACBF pour l’analyse et approbation. Les articles dont le budget prévu c’est moins du seuil tel comme défini sous le tableau pour chaque méthode, sont pour la revue ex-post de l’ACBF (</w:t>
      </w:r>
      <w:proofErr w:type="spellStart"/>
      <w:r>
        <w:rPr>
          <w:sz w:val="16"/>
          <w:szCs w:val="16"/>
          <w:lang w:val="fr-FR"/>
        </w:rPr>
        <w:t>Conf</w:t>
      </w:r>
      <w:proofErr w:type="spellEnd"/>
      <w:r>
        <w:rPr>
          <w:sz w:val="16"/>
          <w:szCs w:val="16"/>
          <w:lang w:val="fr-FR"/>
        </w:rPr>
        <w:t>. Animation ci-joint)</w:t>
      </w:r>
    </w:p>
  </w:footnote>
  <w:footnote w:id="2">
    <w:p w:rsidR="008440A0" w:rsidRPr="00676D29" w:rsidRDefault="008440A0">
      <w:pPr>
        <w:pStyle w:val="FootnoteText"/>
        <w:rPr>
          <w:sz w:val="16"/>
          <w:szCs w:val="16"/>
          <w:lang w:val="fr-FR"/>
        </w:rPr>
      </w:pPr>
      <w:r w:rsidRPr="00B447EE">
        <w:rPr>
          <w:rStyle w:val="FootnoteReference"/>
        </w:rPr>
        <w:footnoteRef/>
      </w:r>
      <w:r w:rsidRPr="00676D29">
        <w:rPr>
          <w:sz w:val="16"/>
          <w:szCs w:val="16"/>
          <w:lang w:val="fr-FR"/>
        </w:rPr>
        <w:t xml:space="preserve"> Seuil d’utilisation – C’est la limite pour l’utilisation d’une certaine méthode. </w:t>
      </w:r>
      <w:proofErr w:type="spellStart"/>
      <w:r>
        <w:rPr>
          <w:sz w:val="16"/>
          <w:szCs w:val="16"/>
          <w:lang w:val="fr-FR"/>
        </w:rPr>
        <w:t>E.g</w:t>
      </w:r>
      <w:proofErr w:type="spellEnd"/>
      <w:r>
        <w:rPr>
          <w:sz w:val="16"/>
          <w:szCs w:val="16"/>
          <w:lang w:val="fr-FR"/>
        </w:rPr>
        <w:t>.</w:t>
      </w:r>
      <w:r w:rsidRPr="00676D29">
        <w:rPr>
          <w:sz w:val="16"/>
          <w:szCs w:val="16"/>
          <w:lang w:val="fr-FR"/>
        </w:rPr>
        <w:t xml:space="preserve"> la limite pour l’utilisation de la méthode de « consultation des Fournisseurs », c’est USD 50,000. </w:t>
      </w:r>
      <w:r>
        <w:rPr>
          <w:sz w:val="16"/>
          <w:szCs w:val="16"/>
          <w:lang w:val="fr-FR"/>
        </w:rPr>
        <w:t>Donc cette méthode ne s’applique que pour les articles ou le budget prévu ne dépasse pas USD 50,000.</w:t>
      </w:r>
    </w:p>
  </w:footnote>
  <w:footnote w:id="3">
    <w:p w:rsidR="009C1A1D" w:rsidRPr="009C1A1D" w:rsidRDefault="009C1A1D">
      <w:pPr>
        <w:pStyle w:val="FootnoteText"/>
        <w:rPr>
          <w:sz w:val="18"/>
          <w:szCs w:val="18"/>
          <w:lang w:val="fr-FR"/>
        </w:rPr>
      </w:pPr>
      <w:r w:rsidRPr="009C1A1D">
        <w:rPr>
          <w:rStyle w:val="FootnoteReference"/>
          <w:sz w:val="18"/>
          <w:szCs w:val="18"/>
        </w:rPr>
        <w:footnoteRef/>
      </w:r>
      <w:r w:rsidRPr="009C1A1D">
        <w:rPr>
          <w:sz w:val="18"/>
          <w:szCs w:val="18"/>
          <w:lang w:val="fr-FR"/>
        </w:rPr>
        <w:t xml:space="preserve"> Il convient de noter que, même après approbation de l'ACBF </w:t>
      </w:r>
      <w:r w:rsidRPr="009C1A1D">
        <w:rPr>
          <w:sz w:val="18"/>
          <w:szCs w:val="18"/>
          <w:lang w:val="fr-FR"/>
        </w:rPr>
        <w:t>du plan</w:t>
      </w:r>
      <w:r w:rsidRPr="009C1A1D">
        <w:rPr>
          <w:sz w:val="18"/>
          <w:szCs w:val="18"/>
          <w:lang w:val="fr-FR"/>
        </w:rPr>
        <w:t>, le projet doit encore obtenir  la Non Objection l'ACBF pour tous les contrats directs ou de contrats de sélection a partir d’une source unique lors du lancement de processus. Ces deux méthodes sont pour l’examen préalable selon les seuils tels comme prescrits sur le plan.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661BB"/>
    <w:multiLevelType w:val="hybridMultilevel"/>
    <w:tmpl w:val="0D3C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A0428"/>
    <w:multiLevelType w:val="hybridMultilevel"/>
    <w:tmpl w:val="40208C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33F06F6"/>
    <w:multiLevelType w:val="hybridMultilevel"/>
    <w:tmpl w:val="8306F78E"/>
    <w:lvl w:ilvl="0" w:tplc="C672BE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242F5B"/>
    <w:multiLevelType w:val="hybridMultilevel"/>
    <w:tmpl w:val="3D4C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10762B"/>
    <w:multiLevelType w:val="hybridMultilevel"/>
    <w:tmpl w:val="2EEA4B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65"/>
    <w:rsid w:val="00114CA1"/>
    <w:rsid w:val="0012607E"/>
    <w:rsid w:val="001F62CC"/>
    <w:rsid w:val="002F3B0C"/>
    <w:rsid w:val="003413D6"/>
    <w:rsid w:val="00416E65"/>
    <w:rsid w:val="004D5CC5"/>
    <w:rsid w:val="00564682"/>
    <w:rsid w:val="005A74FE"/>
    <w:rsid w:val="005D26CE"/>
    <w:rsid w:val="006244E6"/>
    <w:rsid w:val="006620AA"/>
    <w:rsid w:val="00676D29"/>
    <w:rsid w:val="006B77B9"/>
    <w:rsid w:val="00720011"/>
    <w:rsid w:val="008440A0"/>
    <w:rsid w:val="009C1A1D"/>
    <w:rsid w:val="00A97B4F"/>
    <w:rsid w:val="00B05007"/>
    <w:rsid w:val="00B25F2B"/>
    <w:rsid w:val="00B2684E"/>
    <w:rsid w:val="00B447EE"/>
    <w:rsid w:val="00B859FC"/>
    <w:rsid w:val="00CC722A"/>
    <w:rsid w:val="00CE6CD5"/>
    <w:rsid w:val="00CF77FD"/>
    <w:rsid w:val="00D32E47"/>
    <w:rsid w:val="00F8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2CC"/>
    <w:pPr>
      <w:ind w:left="720"/>
      <w:contextualSpacing/>
    </w:pPr>
  </w:style>
  <w:style w:type="character" w:styleId="Hyperlink">
    <w:name w:val="Hyperlink"/>
    <w:basedOn w:val="DefaultParagraphFont"/>
    <w:uiPriority w:val="99"/>
    <w:unhideWhenUsed/>
    <w:rsid w:val="00F87451"/>
    <w:rPr>
      <w:color w:val="0000FF" w:themeColor="hyperlink"/>
      <w:u w:val="single"/>
    </w:rPr>
  </w:style>
  <w:style w:type="character" w:customStyle="1" w:styleId="hps">
    <w:name w:val="hps"/>
    <w:basedOn w:val="DefaultParagraphFont"/>
    <w:rsid w:val="00A97B4F"/>
  </w:style>
  <w:style w:type="paragraph" w:styleId="FootnoteText">
    <w:name w:val="footnote text"/>
    <w:basedOn w:val="Normal"/>
    <w:link w:val="FootnoteTextChar"/>
    <w:uiPriority w:val="99"/>
    <w:semiHidden/>
    <w:unhideWhenUsed/>
    <w:rsid w:val="00676D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6D29"/>
    <w:rPr>
      <w:sz w:val="20"/>
      <w:szCs w:val="20"/>
    </w:rPr>
  </w:style>
  <w:style w:type="character" w:styleId="FootnoteReference">
    <w:name w:val="footnote reference"/>
    <w:basedOn w:val="DefaultParagraphFont"/>
    <w:uiPriority w:val="99"/>
    <w:semiHidden/>
    <w:unhideWhenUsed/>
    <w:rsid w:val="00676D29"/>
    <w:rPr>
      <w:vertAlign w:val="superscript"/>
    </w:rPr>
  </w:style>
  <w:style w:type="paragraph" w:styleId="EndnoteText">
    <w:name w:val="endnote text"/>
    <w:basedOn w:val="Normal"/>
    <w:link w:val="EndnoteTextChar"/>
    <w:uiPriority w:val="99"/>
    <w:semiHidden/>
    <w:unhideWhenUsed/>
    <w:rsid w:val="009C1A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1A1D"/>
    <w:rPr>
      <w:sz w:val="20"/>
      <w:szCs w:val="20"/>
    </w:rPr>
  </w:style>
  <w:style w:type="character" w:styleId="EndnoteReference">
    <w:name w:val="endnote reference"/>
    <w:basedOn w:val="DefaultParagraphFont"/>
    <w:uiPriority w:val="99"/>
    <w:semiHidden/>
    <w:unhideWhenUsed/>
    <w:rsid w:val="009C1A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2CC"/>
    <w:pPr>
      <w:ind w:left="720"/>
      <w:contextualSpacing/>
    </w:pPr>
  </w:style>
  <w:style w:type="character" w:styleId="Hyperlink">
    <w:name w:val="Hyperlink"/>
    <w:basedOn w:val="DefaultParagraphFont"/>
    <w:uiPriority w:val="99"/>
    <w:unhideWhenUsed/>
    <w:rsid w:val="00F87451"/>
    <w:rPr>
      <w:color w:val="0000FF" w:themeColor="hyperlink"/>
      <w:u w:val="single"/>
    </w:rPr>
  </w:style>
  <w:style w:type="character" w:customStyle="1" w:styleId="hps">
    <w:name w:val="hps"/>
    <w:basedOn w:val="DefaultParagraphFont"/>
    <w:rsid w:val="00A97B4F"/>
  </w:style>
  <w:style w:type="paragraph" w:styleId="FootnoteText">
    <w:name w:val="footnote text"/>
    <w:basedOn w:val="Normal"/>
    <w:link w:val="FootnoteTextChar"/>
    <w:uiPriority w:val="99"/>
    <w:semiHidden/>
    <w:unhideWhenUsed/>
    <w:rsid w:val="00676D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6D29"/>
    <w:rPr>
      <w:sz w:val="20"/>
      <w:szCs w:val="20"/>
    </w:rPr>
  </w:style>
  <w:style w:type="character" w:styleId="FootnoteReference">
    <w:name w:val="footnote reference"/>
    <w:basedOn w:val="DefaultParagraphFont"/>
    <w:uiPriority w:val="99"/>
    <w:semiHidden/>
    <w:unhideWhenUsed/>
    <w:rsid w:val="00676D29"/>
    <w:rPr>
      <w:vertAlign w:val="superscript"/>
    </w:rPr>
  </w:style>
  <w:style w:type="paragraph" w:styleId="EndnoteText">
    <w:name w:val="endnote text"/>
    <w:basedOn w:val="Normal"/>
    <w:link w:val="EndnoteTextChar"/>
    <w:uiPriority w:val="99"/>
    <w:semiHidden/>
    <w:unhideWhenUsed/>
    <w:rsid w:val="009C1A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1A1D"/>
    <w:rPr>
      <w:sz w:val="20"/>
      <w:szCs w:val="20"/>
    </w:rPr>
  </w:style>
  <w:style w:type="character" w:styleId="EndnoteReference">
    <w:name w:val="endnote reference"/>
    <w:basedOn w:val="DefaultParagraphFont"/>
    <w:uiPriority w:val="99"/>
    <w:semiHidden/>
    <w:unhideWhenUsed/>
    <w:rsid w:val="009C1A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3BD84-CE72-4A66-944F-972FA15F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Sithole</dc:creator>
  <cp:lastModifiedBy>Veronica Sithole</cp:lastModifiedBy>
  <cp:revision>9</cp:revision>
  <dcterms:created xsi:type="dcterms:W3CDTF">2015-07-15T10:27:00Z</dcterms:created>
  <dcterms:modified xsi:type="dcterms:W3CDTF">2015-07-15T12:33:00Z</dcterms:modified>
</cp:coreProperties>
</file>